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_rels/chart1.xml.rels" ContentType="application/vnd.openxmlformats-package.relationships+xml"/>
  <Override PartName="/word/charts/_rels/chart2.xml.rels" ContentType="application/vnd.openxmlformats-package.relationships+xml"/>
  <Override PartName="/word/charts/_rels/chart3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embeddings/_____Microsoft_Excel2.xlsx" ContentType="application/vnd.openxmlformats-officedocument.spreadsheetml.sheet"/>
  <Override PartName="/word/embeddings/_____Microsoft_Excel3.xlsx" ContentType="application/vnd.openxmlformats-officedocument.spreadsheetml.sheet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Отчет об исполнении бюджета Кировского сельского поселения</w:t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Светлоярского муниципального района Волгоградской области</w:t>
      </w:r>
    </w:p>
    <w:p>
      <w:pPr>
        <w:pStyle w:val="2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 xml:space="preserve">за </w:t>
      </w:r>
      <w:r>
        <w:rPr>
          <w:b/>
          <w:sz w:val="26"/>
          <w:szCs w:val="26"/>
          <w:lang w:val="en-US"/>
        </w:rPr>
        <w:t>I</w:t>
      </w:r>
      <w:r>
        <w:rPr>
          <w:b/>
          <w:sz w:val="26"/>
          <w:szCs w:val="26"/>
        </w:rPr>
        <w:t xml:space="preserve"> </w:t>
      </w:r>
      <w:r>
        <w:rPr>
          <w:rFonts w:eastAsia="Times New Roman" w:cs="Times New Roman"/>
          <w:b/>
          <w:sz w:val="26"/>
          <w:szCs w:val="26"/>
        </w:rPr>
        <w:t>полугодие</w:t>
      </w:r>
      <w:r>
        <w:rPr>
          <w:b/>
          <w:sz w:val="26"/>
          <w:szCs w:val="26"/>
        </w:rPr>
        <w:t xml:space="preserve"> 2024 года</w:t>
      </w:r>
    </w:p>
    <w:p>
      <w:pPr>
        <w:pStyle w:val="Normal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текущем году исполнение местного бюджета осуществлялось в рамках мероприятий, направленных на сохранение стабильности финансовой системы поселения. Основными задачами деятельности по исполнению бюджета являлось укрепление доходной базы, обеспечение стабильного финансирования первоочередных обязательств бюджета, экономия и оптимизация бюджетных расходов.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2"/>
          <w:szCs w:val="26"/>
        </w:rPr>
      </w:pPr>
      <w:r>
        <w:rPr>
          <w:sz w:val="22"/>
          <w:szCs w:val="26"/>
        </w:rPr>
      </w:r>
    </w:p>
    <w:p>
      <w:pPr>
        <w:pStyle w:val="2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Основными итогами исполнения бюджета Кировского сельского поселения 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2024 года являются:</w:t>
      </w:r>
    </w:p>
    <w:p>
      <w:pPr>
        <w:pStyle w:val="Normal"/>
        <w:rPr/>
      </w:pPr>
      <w:r>
        <w:rPr/>
      </w:r>
    </w:p>
    <w:tbl>
      <w:tblPr>
        <w:tblW w:w="9072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69"/>
        <w:gridCol w:w="4602"/>
      </w:tblGrid>
      <w:tr>
        <w:trPr/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b/>
                <w:b/>
              </w:rPr>
            </w:pPr>
            <w:r>
              <w:rPr>
                <w:b/>
              </w:rPr>
              <w:t>Исполнение (тыс. рублей)</w:t>
            </w:r>
          </w:p>
        </w:tc>
      </w:tr>
      <w:tr>
        <w:trPr/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16 218,7</w:t>
            </w:r>
          </w:p>
        </w:tc>
      </w:tr>
      <w:tr>
        <w:trPr/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14 620,5</w:t>
            </w:r>
          </w:p>
        </w:tc>
      </w:tr>
      <w:tr>
        <w:trPr>
          <w:trHeight w:val="172" w:hRule="atLeast"/>
        </w:trPr>
        <w:tc>
          <w:tcPr>
            <w:tcW w:w="4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Профицит ( + )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  <w:t>1 598,2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Доходы бюджета поселения</w:t>
      </w:r>
    </w:p>
    <w:p>
      <w:pPr>
        <w:pStyle w:val="Normal"/>
        <w:jc w:val="center"/>
        <w:rPr>
          <w:b/>
          <w:b/>
          <w:sz w:val="22"/>
          <w:szCs w:val="26"/>
        </w:rPr>
      </w:pPr>
      <w:r>
        <w:rPr>
          <w:b/>
          <w:sz w:val="22"/>
          <w:szCs w:val="26"/>
        </w:rPr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бюджет Кировского сельского поселения 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2024 года поступило доходов в сумме </w:t>
      </w:r>
      <w:r>
        <w:rPr>
          <w:sz w:val="24"/>
          <w:szCs w:val="24"/>
        </w:rPr>
        <w:t>16 218,7</w:t>
      </w:r>
      <w:r>
        <w:rPr>
          <w:sz w:val="26"/>
          <w:szCs w:val="26"/>
        </w:rPr>
        <w:t xml:space="preserve"> тыс. рублей. </w:t>
      </w:r>
      <w:r>
        <w:rPr>
          <w:sz w:val="26"/>
          <w:szCs w:val="26"/>
          <w:shd w:fill="FFFFFF" w:val="clear"/>
        </w:rPr>
        <w:t xml:space="preserve">Исполнение годовых бюджетных назначений составило 27,5 %. </w:t>
      </w:r>
      <w:r>
        <w:rPr>
          <w:sz w:val="26"/>
          <w:szCs w:val="26"/>
          <w:shd w:fill="auto" w:val="clear"/>
        </w:rPr>
        <w:t>По сравнению с аналогичным периодом прошлого года поступление доходов уменьшилось на 414,9 тыс. рублей или на 2,5%.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Наибольший удельный вес в структуре доходов бюджета Кировского сельского поселения, поступивших в бюджет за I полугодие текущего финансового года, приходится на собственные доходы </w:t>
      </w:r>
      <w:r>
        <w:rPr>
          <w:sz w:val="26"/>
          <w:szCs w:val="26"/>
          <w:shd w:fill="auto" w:val="clear"/>
        </w:rPr>
        <w:t xml:space="preserve">(налоговые и неналоговые доходы) 77,6%, на безвозмездные поступления 22,4% от общей суммы поступивших доходов.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Структура собственных доходов бюджета Кировского сельского поселения, сложившаяся по состоянию на 01.07.2024 года, представлена на рис.1.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/>
        <w:drawing>
          <wp:inline distT="0" distB="0" distL="0" distR="0">
            <wp:extent cx="5060315" cy="2082800"/>
            <wp:effectExtent l="0" t="0" r="0" b="0"/>
            <wp:docPr id="1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"/>
              </a:graphicData>
            </a:graphic>
          </wp:inline>
        </w:drawing>
      </w:r>
    </w:p>
    <w:p>
      <w:pPr>
        <w:pStyle w:val="Normal"/>
        <w:ind w:firstLine="709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Рис.1: Структура собственных доходов бюджета Кировского сельского поселения на 01.07.2024 года</w:t>
      </w:r>
    </w:p>
    <w:p>
      <w:pPr>
        <w:pStyle w:val="Normal"/>
        <w:ind w:firstLine="709"/>
        <w:jc w:val="center"/>
        <w:rPr>
          <w:b/>
          <w:b/>
          <w:sz w:val="22"/>
          <w:szCs w:val="24"/>
        </w:rPr>
      </w:pPr>
      <w:r>
        <w:rPr>
          <w:b/>
          <w:sz w:val="22"/>
          <w:szCs w:val="24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Фактическое поступление налоговых и неналоговых доходов за </w:t>
      </w:r>
      <w:r>
        <w:rPr>
          <w:rFonts w:ascii="Calibri" w:hAnsi="Calibri"/>
          <w:sz w:val="26"/>
          <w:szCs w:val="26"/>
        </w:rPr>
        <w:t>I</w:t>
      </w:r>
      <w:r>
        <w:rPr>
          <w:sz w:val="26"/>
          <w:szCs w:val="26"/>
        </w:rPr>
        <w:t xml:space="preserve"> полугодие 2024 года составило 12 586,2 тыс. рублей, плановые назначения исполнены на </w:t>
      </w:r>
      <w:r>
        <w:rPr>
          <w:sz w:val="26"/>
          <w:szCs w:val="26"/>
          <w:shd w:fill="FFFFFF" w:val="clear"/>
        </w:rPr>
        <w:t xml:space="preserve">25,2%. </w:t>
      </w:r>
      <w:r>
        <w:rPr>
          <w:sz w:val="26"/>
          <w:szCs w:val="26"/>
        </w:rPr>
        <w:t xml:space="preserve">По сравнению с аналогичным периодом прошлого года поступления </w:t>
      </w:r>
      <w:r>
        <w:rPr>
          <w:sz w:val="26"/>
          <w:szCs w:val="26"/>
          <w:shd w:fill="FFFFFF" w:val="clear"/>
        </w:rPr>
        <w:t>увеличились на 329,5 тыс. рублей или на 2,7%.</w:t>
      </w:r>
    </w:p>
    <w:p>
      <w:pPr>
        <w:pStyle w:val="Normal"/>
        <w:ind w:firstLine="567"/>
        <w:jc w:val="both"/>
        <w:rPr>
          <w:szCs w:val="26"/>
        </w:rPr>
      </w:pPr>
      <w:r>
        <w:rPr>
          <w:b/>
          <w:sz w:val="26"/>
          <w:szCs w:val="26"/>
        </w:rPr>
        <w:t xml:space="preserve">Налог на доходы физических лиц </w:t>
      </w:r>
      <w:r>
        <w:rPr>
          <w:sz w:val="26"/>
          <w:szCs w:val="26"/>
        </w:rPr>
        <w:t>поступил в сумме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4 182,3 тыс. рублей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или 3</w:t>
      </w:r>
      <w:r>
        <w:rPr>
          <w:sz w:val="26"/>
          <w:szCs w:val="26"/>
          <w:shd w:fill="FFFFFF" w:val="clear"/>
        </w:rPr>
        <w:t>3,2%</w:t>
      </w:r>
      <w:r>
        <w:rPr>
          <w:sz w:val="26"/>
          <w:szCs w:val="26"/>
        </w:rPr>
        <w:t xml:space="preserve"> в общей сумме собственных доходов. Годовые бюджетные назначения исполнены на 36,7%. </w:t>
      </w:r>
      <w:r>
        <w:rPr>
          <w:sz w:val="26"/>
          <w:szCs w:val="26"/>
          <w:shd w:fill="FFFFFF" w:val="clear"/>
        </w:rPr>
        <w:t>По сравнению с аналогичным периодом прошлого года поступления увеличились на 585,3 тыс. рублей или на 16,3%.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Поступление </w:t>
      </w:r>
      <w:r>
        <w:rPr>
          <w:b/>
          <w:sz w:val="26"/>
          <w:szCs w:val="26"/>
        </w:rPr>
        <w:t>акцизов по подакцизным товарам (продукции), производимым на территории РФ</w:t>
      </w:r>
      <w:r>
        <w:rPr>
          <w:sz w:val="26"/>
          <w:szCs w:val="26"/>
        </w:rPr>
        <w:t xml:space="preserve">, составило 754,8 тыс. рублей или </w:t>
      </w:r>
      <w:r>
        <w:rPr>
          <w:sz w:val="26"/>
          <w:szCs w:val="26"/>
          <w:shd w:fill="FFFFFF" w:val="clear"/>
        </w:rPr>
        <w:t>6,0% в общей сумме собственных доходов.  Годовые бюджетные назначения исполнены на 48,1%. По сравнению с аналогичным периодом прошлого года поступления уменьшились на 54,7 тыс. рублей или на</w:t>
      </w:r>
      <w:r>
        <w:rPr>
          <w:sz w:val="26"/>
          <w:szCs w:val="26"/>
          <w:shd w:fill="auto" w:val="clear"/>
        </w:rPr>
        <w:t xml:space="preserve"> 6,8%.</w:t>
      </w:r>
    </w:p>
    <w:p>
      <w:pPr>
        <w:pStyle w:val="Normal"/>
        <w:ind w:firstLine="708"/>
        <w:jc w:val="both"/>
        <w:rPr>
          <w:shd w:fill="auto" w:val="clear"/>
        </w:rPr>
      </w:pPr>
      <w:r>
        <w:rPr>
          <w:b/>
          <w:sz w:val="26"/>
          <w:szCs w:val="26"/>
          <w:shd w:fill="auto" w:val="clear"/>
        </w:rPr>
        <w:t>Единый сельскохозяйственный налог</w:t>
      </w:r>
      <w:r>
        <w:rPr>
          <w:sz w:val="26"/>
          <w:szCs w:val="26"/>
          <w:shd w:fill="auto" w:val="clear"/>
        </w:rPr>
        <w:t xml:space="preserve"> составил 15,7 тыс. рублей или 0,1% в общей сумме собственных доходов. Годовые бюджетные назначения исполнены на 392,5%. По сравнению с аналогичным периодом прошлого года поступления увеличились на 1,0 тыс. рублей или на 6,8%.</w:t>
      </w:r>
    </w:p>
    <w:p>
      <w:pPr>
        <w:pStyle w:val="Normal"/>
        <w:ind w:firstLine="708"/>
        <w:jc w:val="both"/>
        <w:rPr>
          <w:shd w:fill="auto" w:val="clear"/>
        </w:rPr>
      </w:pPr>
      <w:r>
        <w:rPr>
          <w:b/>
          <w:sz w:val="26"/>
          <w:szCs w:val="26"/>
          <w:shd w:fill="auto" w:val="clear"/>
        </w:rPr>
        <w:t>Налоги на имущество,</w:t>
      </w:r>
      <w:r>
        <w:rPr>
          <w:sz w:val="26"/>
          <w:szCs w:val="26"/>
          <w:shd w:fill="auto" w:val="clear"/>
        </w:rPr>
        <w:t xml:space="preserve"> которые составили 55,8% от доли собственных доходов, поступили  в сумме </w:t>
      </w:r>
      <w:r>
        <w:rPr>
          <w:rFonts w:eastAsia="Times New Roman" w:cs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7 019,9</w:t>
      </w:r>
      <w:r>
        <w:rPr>
          <w:sz w:val="26"/>
          <w:szCs w:val="26"/>
          <w:shd w:fill="auto" w:val="clear"/>
        </w:rPr>
        <w:t xml:space="preserve"> тыс. рублей, бюджетные назначения исполнены на 19,2%, а именно:</w:t>
      </w:r>
    </w:p>
    <w:p>
      <w:pPr>
        <w:pStyle w:val="Normal"/>
        <w:ind w:firstLine="709"/>
        <w:jc w:val="both"/>
        <w:rPr/>
      </w:pPr>
      <w:r>
        <w:rPr>
          <w:b/>
          <w:sz w:val="26"/>
          <w:szCs w:val="26"/>
          <w:shd w:fill="auto" w:val="clear"/>
        </w:rPr>
        <w:t>- налог на имущество физических лиц</w:t>
      </w:r>
      <w:r>
        <w:rPr>
          <w:sz w:val="26"/>
          <w:szCs w:val="26"/>
          <w:shd w:fill="auto" w:val="clear"/>
        </w:rPr>
        <w:t xml:space="preserve"> поступил в сумме </w:t>
      </w:r>
      <w:r>
        <w:rPr>
          <w:rFonts w:eastAsia="Times New Roman" w:cs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90,4</w:t>
      </w:r>
      <w:r>
        <w:rPr>
          <w:sz w:val="26"/>
          <w:szCs w:val="26"/>
          <w:shd w:fill="auto" w:val="clear"/>
        </w:rPr>
        <w:t xml:space="preserve"> тыс. рублей, бюджетные назначения исполнены на 15,0%. По сравнению с аналогичным периодом прошлого года поступления увеличились на </w:t>
      </w:r>
      <w:r>
        <w:rPr>
          <w:rFonts w:eastAsia="Times New Roman" w:cs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111,2</w:t>
      </w:r>
      <w:r>
        <w:rPr>
          <w:sz w:val="26"/>
          <w:szCs w:val="26"/>
          <w:shd w:fill="auto" w:val="clear"/>
        </w:rPr>
        <w:t xml:space="preserve"> тыс.</w:t>
      </w:r>
      <w:r>
        <w:rPr>
          <w:sz w:val="26"/>
          <w:szCs w:val="26"/>
          <w:shd w:fill="FFFF00" w:val="clear"/>
        </w:rPr>
        <w:t xml:space="preserve"> </w:t>
      </w:r>
      <w:r>
        <w:rPr>
          <w:sz w:val="26"/>
          <w:szCs w:val="26"/>
          <w:shd w:fill="auto" w:val="clear"/>
        </w:rPr>
        <w:t>рублей или на 434,6%.</w:t>
      </w:r>
    </w:p>
    <w:p>
      <w:pPr>
        <w:pStyle w:val="Normal"/>
        <w:ind w:firstLine="709"/>
        <w:jc w:val="both"/>
        <w:rPr>
          <w:shd w:fill="auto" w:val="clear"/>
        </w:rPr>
      </w:pPr>
      <w:r>
        <w:rPr>
          <w:b/>
          <w:sz w:val="26"/>
          <w:szCs w:val="26"/>
          <w:shd w:fill="auto" w:val="clear"/>
        </w:rPr>
        <w:t>- земельный налог</w:t>
      </w:r>
      <w:r>
        <w:rPr>
          <w:sz w:val="26"/>
          <w:szCs w:val="26"/>
          <w:shd w:fill="auto" w:val="clear"/>
        </w:rPr>
        <w:t xml:space="preserve"> поступил в сумме </w:t>
      </w:r>
      <w:r>
        <w:rPr>
          <w:rFonts w:eastAsia="Times New Roman" w:cs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6 929,5</w:t>
      </w:r>
      <w:r>
        <w:rPr>
          <w:sz w:val="26"/>
          <w:szCs w:val="26"/>
          <w:shd w:fill="auto" w:val="clear"/>
        </w:rPr>
        <w:t xml:space="preserve"> тыс. рублей, бюджетные назначения исполнены на 19,2%. По сравнению с аналогичным периодом прошлого года поступления уменьшились  на 514,1 тыс. рублей или на 6,9 %.</w:t>
      </w:r>
    </w:p>
    <w:p>
      <w:pPr>
        <w:pStyle w:val="Normal"/>
        <w:ind w:firstLine="709"/>
        <w:jc w:val="both"/>
        <w:rPr>
          <w:shd w:fill="FFFFFF" w:val="clear"/>
        </w:rPr>
      </w:pPr>
      <w:r>
        <w:rPr>
          <w:b/>
          <w:sz w:val="26"/>
          <w:szCs w:val="26"/>
          <w:shd w:fill="FFFFFF" w:val="clear"/>
        </w:rPr>
        <w:t>Доходы от использования имущества, находящегося в государственной и муниципальной собственности</w:t>
      </w:r>
      <w:r>
        <w:rPr>
          <w:sz w:val="26"/>
          <w:szCs w:val="26"/>
          <w:shd w:fill="FFFFFF" w:val="clear"/>
        </w:rPr>
        <w:t>, поступили в сумме 371,0 тыс. рублей или 3,0% в общей сумме собственных доходов. Годовые бюджетные назначения исполнены на 87,3%, а именно - доходы от сдачи в аренду имущества, находящегося в оперативном управлении органов управления поселений и созданных ими учреждений. По сравнению с аналогичным периодом прошлого года поступления остались на том же уровне.</w:t>
      </w:r>
    </w:p>
    <w:p>
      <w:pPr>
        <w:pStyle w:val="Normal"/>
        <w:ind w:firstLine="708"/>
        <w:jc w:val="both"/>
        <w:rPr>
          <w:shd w:fill="FFFF00" w:val="clear"/>
        </w:rPr>
      </w:pPr>
      <w:r>
        <w:rPr>
          <w:b/>
          <w:sz w:val="26"/>
          <w:szCs w:val="26"/>
          <w:shd w:fill="auto" w:val="clear"/>
        </w:rPr>
        <w:t>Доходы от оказания платных услуг и компенсации затрат государства</w:t>
      </w:r>
      <w:r>
        <w:rPr>
          <w:sz w:val="26"/>
          <w:szCs w:val="26"/>
          <w:shd w:fill="auto" w:val="clear"/>
        </w:rPr>
        <w:t xml:space="preserve"> поступили в сумме 100,3 тыс. рублей, бюджетные назначения не утверждались, </w:t>
      </w:r>
      <w:r>
        <w:rPr>
          <w:sz w:val="26"/>
          <w:szCs w:val="26"/>
          <w:shd w:fill="FFFF00" w:val="clear"/>
        </w:rPr>
        <w:t xml:space="preserve"> </w:t>
      </w:r>
      <w:r>
        <w:rPr>
          <w:sz w:val="26"/>
          <w:szCs w:val="26"/>
          <w:shd w:fill="auto" w:val="clear"/>
        </w:rPr>
        <w:t>от общих собственных доходов составили 0,8%, а именно:</w:t>
      </w:r>
    </w:p>
    <w:p>
      <w:pPr>
        <w:pStyle w:val="Normal"/>
        <w:ind w:firstLine="708"/>
        <w:jc w:val="both"/>
        <w:rPr>
          <w:shd w:fill="auto" w:val="clear"/>
        </w:rPr>
      </w:pPr>
      <w:r>
        <w:rPr>
          <w:sz w:val="26"/>
          <w:szCs w:val="26"/>
          <w:shd w:fill="auto" w:val="clear"/>
        </w:rPr>
        <w:t>прочие доходы от оказания платных услуг (работ) получателями средств бюджетов сельских поселений - 9,1 тыс. рублей;</w:t>
      </w:r>
    </w:p>
    <w:p>
      <w:pPr>
        <w:pStyle w:val="Normal"/>
        <w:ind w:firstLine="708"/>
        <w:jc w:val="both"/>
        <w:rPr>
          <w:shd w:fill="auto" w:val="clear"/>
        </w:rPr>
      </w:pPr>
      <w:r>
        <w:rPr>
          <w:sz w:val="26"/>
          <w:szCs w:val="26"/>
          <w:shd w:fill="auto" w:val="clear"/>
        </w:rPr>
        <w:t>прочие доходы от компенсации затрат бюджетов сельских поселений - 91,2 тыс. рублей.</w:t>
      </w:r>
    </w:p>
    <w:p>
      <w:pPr>
        <w:pStyle w:val="Normal"/>
        <w:ind w:firstLine="708"/>
        <w:jc w:val="both"/>
        <w:rPr>
          <w:shd w:fill="auto" w:val="clear"/>
        </w:rPr>
      </w:pPr>
      <w:r>
        <w:rPr>
          <w:b/>
          <w:sz w:val="26"/>
          <w:szCs w:val="26"/>
          <w:shd w:fill="auto" w:val="clear"/>
        </w:rPr>
        <w:t>Штрафы, санкции, возмещение ущерба</w:t>
      </w:r>
      <w:r>
        <w:rPr>
          <w:sz w:val="26"/>
          <w:szCs w:val="26"/>
          <w:shd w:fill="auto" w:val="clear"/>
        </w:rPr>
        <w:t xml:space="preserve"> поступили в сумме 142,2 тыс. рублей, годовые бюджетные назначения не утверждались, от общих собственных доходов составили 1,1%, а именно:</w:t>
      </w:r>
    </w:p>
    <w:p>
      <w:pPr>
        <w:pStyle w:val="Normal"/>
        <w:ind w:firstLine="708"/>
        <w:jc w:val="both"/>
        <w:rPr>
          <w:shd w:fill="auto" w:val="clear"/>
        </w:rPr>
      </w:pPr>
      <w:r>
        <w:rPr>
          <w:sz w:val="26"/>
          <w:szCs w:val="26"/>
          <w:shd w:fill="auto" w:val="clear"/>
        </w:rPr>
        <w:t>-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контроля, поступили в сумме 10,0 тыс. рублей, по сравнению с аналогичным периодом прошлого года поступления увеличились на 10,0 тыс. рублей;</w:t>
      </w:r>
    </w:p>
    <w:p>
      <w:pPr>
        <w:pStyle w:val="Normal"/>
        <w:ind w:firstLine="708"/>
        <w:jc w:val="both"/>
        <w:rPr>
          <w:shd w:fill="auto" w:val="clear"/>
        </w:rPr>
      </w:pPr>
      <w:r>
        <w:rPr>
          <w:sz w:val="26"/>
          <w:szCs w:val="26"/>
          <w:shd w:fill="auto" w:val="clear"/>
        </w:rPr>
        <w:t>- 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бюджете, поступили в сумме 132,2 тыс. рублей. По сравнению с аналогичным периодом прошлого года поступления увеличились на 102,4 тыс. рублей или на 43,6%.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hd w:fill="auto" w:val="clear"/>
        </w:rPr>
      </w:pPr>
      <w:r>
        <w:rPr>
          <w:b/>
          <w:sz w:val="26"/>
          <w:szCs w:val="26"/>
          <w:shd w:fill="auto" w:val="clear"/>
        </w:rPr>
        <w:t>Безвозмездных поступлений</w:t>
      </w:r>
      <w:r>
        <w:rPr>
          <w:sz w:val="26"/>
          <w:szCs w:val="26"/>
          <w:shd w:fill="auto" w:val="clear"/>
        </w:rPr>
        <w:t xml:space="preserve"> за I полугодие 2024 года получено в сумме 3 632,5 тыс. рублей. Годовые бюджетные назначения исполнены на 40,3%, в том числе: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hd w:fill="auto" w:val="clear"/>
        </w:rPr>
      </w:pPr>
      <w:r>
        <w:rPr>
          <w:sz w:val="26"/>
          <w:szCs w:val="26"/>
          <w:shd w:fill="auto" w:val="clear"/>
        </w:rPr>
        <w:t>- дотация на выравнивание бюджетной обеспеченности – 3 492,5 тыс. рублей;</w:t>
      </w:r>
    </w:p>
    <w:p>
      <w:pPr>
        <w:pStyle w:val="Normal"/>
        <w:ind w:firstLine="709"/>
        <w:rPr>
          <w:shd w:fill="auto" w:val="clear"/>
        </w:rPr>
      </w:pPr>
      <w:r>
        <w:rPr>
          <w:sz w:val="26"/>
          <w:szCs w:val="26"/>
          <w:shd w:fill="auto" w:val="clear"/>
        </w:rPr>
        <w:t>- субвенции бюджетам бюджетной системы Российской Федерации – 118,3 тыс. рублей, в том числе: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hd w:fill="auto" w:val="clear"/>
        </w:rPr>
      </w:pPr>
      <w:r>
        <w:rPr>
          <w:sz w:val="26"/>
          <w:szCs w:val="26"/>
          <w:shd w:fill="auto" w:val="clear"/>
        </w:rPr>
        <w:t xml:space="preserve"> </w:t>
      </w:r>
      <w:r>
        <w:rPr>
          <w:sz w:val="26"/>
          <w:szCs w:val="26"/>
          <w:shd w:fill="auto" w:val="clear"/>
        </w:rPr>
        <w:t xml:space="preserve">субвенция на осуществление первичного воинского учёта – 107,9 тыс. рублей; 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hd w:fill="auto" w:val="clear"/>
        </w:rPr>
      </w:pPr>
      <w:r>
        <w:rPr>
          <w:sz w:val="26"/>
          <w:szCs w:val="26"/>
          <w:shd w:fill="auto" w:val="clear"/>
        </w:rPr>
        <w:t xml:space="preserve"> </w:t>
      </w:r>
      <w:r>
        <w:rPr>
          <w:sz w:val="26"/>
          <w:szCs w:val="26"/>
          <w:shd w:fill="auto" w:val="clear"/>
        </w:rPr>
        <w:t>субвенция на обеспечение деятельности административной комиссии – 10,4 тыс. рублей;</w:t>
      </w:r>
    </w:p>
    <w:p>
      <w:pPr>
        <w:pStyle w:val="Normal"/>
        <w:ind w:firstLine="709"/>
        <w:rPr>
          <w:shd w:fill="auto" w:val="clear"/>
        </w:rPr>
      </w:pPr>
      <w:r>
        <w:rPr>
          <w:sz w:val="26"/>
          <w:szCs w:val="26"/>
          <w:shd w:fill="auto" w:val="clear"/>
        </w:rPr>
        <w:t>- иные межбюджетные трансферты – 21,7 тыс. рублей.</w:t>
      </w:r>
    </w:p>
    <w:p>
      <w:pPr>
        <w:pStyle w:val="Normal"/>
        <w:tabs>
          <w:tab w:val="clear" w:pos="708"/>
          <w:tab w:val="left" w:pos="1140" w:leader="none"/>
        </w:tabs>
        <w:ind w:firstLine="709"/>
        <w:jc w:val="both"/>
        <w:rPr>
          <w:sz w:val="22"/>
          <w:szCs w:val="26"/>
        </w:rPr>
      </w:pPr>
      <w:r>
        <w:rPr>
          <w:sz w:val="22"/>
          <w:szCs w:val="26"/>
        </w:rPr>
      </w:r>
    </w:p>
    <w:p>
      <w:pPr>
        <w:pStyle w:val="Normal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  <w:t>Расходы бюджета поселения</w:t>
      </w:r>
    </w:p>
    <w:p>
      <w:pPr>
        <w:pStyle w:val="Normal"/>
        <w:jc w:val="center"/>
        <w:rPr>
          <w:b/>
          <w:b/>
          <w:sz w:val="18"/>
          <w:szCs w:val="26"/>
        </w:rPr>
      </w:pPr>
      <w:r>
        <w:rPr>
          <w:b/>
          <w:sz w:val="18"/>
          <w:szCs w:val="26"/>
        </w:rPr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Расходы бюджета Кировского сельского поселения по ГРБС                    </w:t>
      </w:r>
      <w:r>
        <w:rPr>
          <w:b/>
          <w:sz w:val="26"/>
          <w:szCs w:val="26"/>
        </w:rPr>
        <w:t xml:space="preserve">950 «Администрация Кировского сельского поселения» </w:t>
      </w:r>
      <w:r>
        <w:rPr>
          <w:sz w:val="26"/>
          <w:szCs w:val="26"/>
        </w:rPr>
        <w:t xml:space="preserve">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2024 года составили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14 620,5</w:t>
      </w:r>
      <w:r>
        <w:rPr>
          <w:sz w:val="26"/>
          <w:szCs w:val="26"/>
        </w:rPr>
        <w:t xml:space="preserve"> тыс. рублей. Годовые плановые назначения исполнены на    24,8%. 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Исполнение бюджета Кировского сельского поселения 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2024 года по разделам бюджетной классификации характеризуется следующими данными:</w:t>
      </w:r>
    </w:p>
    <w:tbl>
      <w:tblPr>
        <w:tblW w:w="9087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83"/>
        <w:gridCol w:w="1843"/>
        <w:gridCol w:w="1559"/>
        <w:gridCol w:w="1701"/>
      </w:tblGrid>
      <w:tr>
        <w:trPr>
          <w:trHeight w:val="578" w:hRule="atLeast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План на 2024 год,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тыс.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Исполнение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на 01.07.2024,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/>
              <w:t>тыс. рублей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% исполнения годового плана</w:t>
            </w:r>
          </w:p>
        </w:tc>
      </w:tr>
      <w:tr>
        <w:trPr>
          <w:trHeight w:val="253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1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4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/>
              <w:t>5</w:t>
            </w:r>
          </w:p>
        </w:tc>
      </w:tr>
      <w:tr>
        <w:trPr>
          <w:trHeight w:val="255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7 221,8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3103,2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43,0</w:t>
            </w:r>
          </w:p>
        </w:tc>
      </w:tr>
      <w:tr>
        <w:trPr>
          <w:trHeight w:val="282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436,0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24,7</w:t>
            </w:r>
          </w:p>
        </w:tc>
      </w:tr>
      <w:tr>
        <w:trPr>
          <w:trHeight w:val="355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2 435,6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1126,7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46,3</w:t>
            </w:r>
          </w:p>
        </w:tc>
      </w:tr>
      <w:tr>
        <w:trPr>
          <w:trHeight w:val="215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22 830,0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2334,2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10,2</w:t>
            </w:r>
          </w:p>
        </w:tc>
      </w:tr>
      <w:tr>
        <w:trPr>
          <w:trHeight w:val="247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14 292,1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3297,8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23,1</w:t>
            </w:r>
          </w:p>
        </w:tc>
      </w:tr>
      <w:tr>
        <w:trPr>
          <w:trHeight w:val="237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325,5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100,9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31,0</w:t>
            </w:r>
          </w:p>
        </w:tc>
      </w:tr>
      <w:tr>
        <w:trPr>
          <w:trHeight w:val="226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10 126,6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4105,2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40,5</w:t>
            </w:r>
          </w:p>
        </w:tc>
      </w:tr>
      <w:tr>
        <w:trPr>
          <w:trHeight w:val="231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713,7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345,0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48,3</w:t>
            </w:r>
          </w:p>
        </w:tc>
      </w:tr>
      <w:tr>
        <w:trPr>
          <w:trHeight w:val="221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647,3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99,6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15,4</w:t>
            </w:r>
          </w:p>
        </w:tc>
      </w:tr>
      <w:tr>
        <w:trPr>
          <w:trHeight w:val="239" w:hRule="atLeast"/>
        </w:trPr>
        <w:tc>
          <w:tcPr>
            <w:tcW w:w="39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59 028,6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14620,5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ru-RU" w:eastAsia="ru-RU" w:bidi="ar-SA"/>
              </w:rPr>
              <w:t>24,8</w:t>
            </w:r>
          </w:p>
        </w:tc>
      </w:tr>
    </w:tbl>
    <w:p>
      <w:pPr>
        <w:pStyle w:val="Normal"/>
        <w:ind w:firstLine="709"/>
        <w:jc w:val="both"/>
        <w:rPr>
          <w:sz w:val="18"/>
        </w:rPr>
      </w:pPr>
      <w:r>
        <w:rPr>
          <w:sz w:val="18"/>
        </w:rPr>
      </w:r>
    </w:p>
    <w:p>
      <w:pPr>
        <w:pStyle w:val="Normal"/>
        <w:spacing w:lineRule="exact" w:line="298"/>
        <w:ind w:left="20" w:right="20" w:firstLine="72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Структура исполнения расходов бюджета Кировского сельского поселения за 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полугодие 2024 года по разделам классификации бюджета  представлена на рис. 2.</w:t>
      </w:r>
    </w:p>
    <w:p>
      <w:pPr>
        <w:pStyle w:val="Normal"/>
        <w:spacing w:lineRule="exact" w:line="298"/>
        <w:ind w:left="20" w:right="20" w:firstLine="72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bookmarkStart w:id="0" w:name="_MON_1458469938"/>
      <w:bookmarkStart w:id="1" w:name="_MON_1458472840"/>
      <w:bookmarkStart w:id="2" w:name="_MON_1458473227"/>
      <w:bookmarkEnd w:id="0"/>
      <w:bookmarkEnd w:id="1"/>
      <w:bookmarkEnd w:id="2"/>
      <w:r>
        <w:rPr/>
        <w:drawing>
          <wp:inline distT="0" distB="0" distL="0" distR="0">
            <wp:extent cx="5430520" cy="2286635"/>
            <wp:effectExtent l="0" t="0" r="0" b="0"/>
            <wp:docPr id="2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"/>
              </a:graphicData>
            </a:graphic>
          </wp:inline>
        </w:drawing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Рис. 2. Структура расходов бюджета Кировского сельского поселения за 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</w:t>
      </w:r>
      <w:r>
        <w:rPr>
          <w:b/>
          <w:sz w:val="26"/>
          <w:szCs w:val="26"/>
        </w:rPr>
        <w:t>полугодие</w:t>
      </w:r>
      <w:r>
        <w:rPr>
          <w:b/>
          <w:sz w:val="24"/>
          <w:szCs w:val="24"/>
        </w:rPr>
        <w:t xml:space="preserve"> 2024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>
      <w:pPr>
        <w:pStyle w:val="Normal"/>
        <w:spacing w:lineRule="exact" w:line="302"/>
        <w:ind w:left="20" w:right="20" w:firstLine="720"/>
        <w:jc w:val="both"/>
        <w:rPr>
          <w:sz w:val="18"/>
          <w:szCs w:val="26"/>
        </w:rPr>
      </w:pPr>
      <w:r>
        <w:rPr>
          <w:sz w:val="18"/>
          <w:szCs w:val="26"/>
        </w:rPr>
      </w:r>
    </w:p>
    <w:p>
      <w:pPr>
        <w:pStyle w:val="1"/>
        <w:shd w:val="clear" w:color="auto" w:fill="auto"/>
        <w:spacing w:lineRule="auto" w:line="240"/>
        <w:ind w:left="20" w:right="20" w:firstLine="720"/>
        <w:rPr>
          <w:sz w:val="26"/>
          <w:szCs w:val="26"/>
        </w:rPr>
      </w:pPr>
      <w:r>
        <w:rPr>
          <w:sz w:val="26"/>
          <w:szCs w:val="26"/>
        </w:rPr>
        <w:t>В разрезе разделов бюджетной классификации исполнение бюджета по расходам следующее.</w:t>
      </w:r>
    </w:p>
    <w:p>
      <w:pPr>
        <w:pStyle w:val="Normal"/>
        <w:spacing w:lineRule="exact" w:line="302"/>
        <w:ind w:left="20" w:right="20" w:firstLine="720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b/>
          <w:sz w:val="26"/>
          <w:szCs w:val="26"/>
        </w:rPr>
        <w:t xml:space="preserve">0100 «Общегосударственные вопросы» </w:t>
      </w:r>
      <w:r>
        <w:rPr>
          <w:sz w:val="26"/>
          <w:szCs w:val="26"/>
        </w:rPr>
        <w:t xml:space="preserve">расходы составили 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3 103,2</w:t>
      </w:r>
      <w:r>
        <w:rPr>
          <w:sz w:val="26"/>
          <w:szCs w:val="26"/>
        </w:rPr>
        <w:t xml:space="preserve">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тыс. рублей или 21,2% в общей сумме расходов. План годовых назначений выполнен на 43,0%. По подразделам расходы следующие: 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- по подразделу 0102 «Функционирование высшего должностного лица субъекта Российской Федерации и муниципального образования» -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482,3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тыс. рублей, план годовых назначений выполнен на 50,2%;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- 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-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1 945,6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рублей, план годовых назначений выполнен на 50,4%;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0106 «Обеспечение деятельности финансовых, налоговых и таможенных органов и органов финансового (финансово-бюджетного) надзора» - 53,0 тыс. рублей, план годовых назначений выполнен на 52,6%;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0107 «Обеспечение проведения выборов и референдумов» - при плановых назначениях в сумме 479,8 тыс. рублей расходы не производились;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0111 «Резервные фонды» - при плановых назначениях в сумме 111,0 тыс. рублей расходы не производились;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0113 «Другие общегосударственные вопросы» - 622,3 тыс. рублей, план годовых назначений выполнен на 36,4%.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0200 «Национальная оборона»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(подраздел 0203 «Мобилизационная и вневойсковая подготовка») расходы составили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107,9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 или 0,7% в общей сумме расходов. План годовых назначений выполнен на 24,7%.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0300 «Национальная безопасность и правоохранительная деятельность»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</w:t>
      </w:r>
      <w:r>
        <w:rPr>
          <w:sz w:val="26"/>
          <w:szCs w:val="26"/>
        </w:rPr>
        <w:t xml:space="preserve">расходы составили </w:t>
      </w:r>
      <w:r>
        <w:rPr>
          <w:rFonts w:eastAsia="Times New Roman" w:cs="Times New Roman"/>
          <w:color w:val="auto"/>
          <w:kern w:val="0"/>
          <w:sz w:val="26"/>
          <w:szCs w:val="26"/>
          <w:lang w:val="ru-RU" w:eastAsia="ru-RU" w:bidi="ar-SA"/>
        </w:rPr>
        <w:t>1 126,7</w:t>
      </w:r>
      <w:r>
        <w:rPr>
          <w:sz w:val="26"/>
          <w:szCs w:val="26"/>
        </w:rPr>
        <w:t xml:space="preserve">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тыс. рублей или 7,7% в общей сумме расходов. План годовых назначений выполнен на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46,3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%. По подразделам расходы следующие: 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0309 «Гражданская оборона» - 9,3 тыс. рублей, план годовых назначений выполнен на 93,0%;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- по подразделу 0310 «Защита населения и территории от чрезвычайных ситуаций природного и техногенного характера, пожарная безопасность» -          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1 094,3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рублей, план годовых назначений выполнен на 46,0%;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по подразделу 0314 «Другие вопросы в области национальной безопасности и правоохранительной деятельности» -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23,1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рублей, план годовых назначений выполнен на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50,1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0400 «Национальная экономика»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расходы составили                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2 334,2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 или 16,0% в общей сумме расходов. План годовых назначений выполнен на 10,2%. Расходы по подразделам следующие: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- по подразделу 0409 «Дорожное хозяйство (дорожные фонды)» -       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2334,2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рублей, план годовых назначений выполнен на 10,5%;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0412 «Другие вопросы в области национальной экономики» - при плановых назначениях в сумме 503,4 тыс. рублей расходы не производились.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 xml:space="preserve">0500 «Жилищно-коммунальное хозяйство»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расходы составили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3 297,8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рублей, что составляет 22,5 % в общей сумме расходов. План годовых назначений по разделу выполнен на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23,1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%. Расходы по подразделам следующие: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- по подразделу 0501 «Жилищное хозяйство» -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44,7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 план годовых назначений выполнен на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49,1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- по подразделу 0503 «Благоустройство» -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3 253,1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рублей, план годовых назначений выполнен на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22,9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0700 «О</w:t>
      </w:r>
      <w:r>
        <w:rPr>
          <w:b/>
          <w:sz w:val="26"/>
          <w:szCs w:val="26"/>
        </w:rPr>
        <w:t>бразование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»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расходы составили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100,9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рублей, что составляет 0,7 % в общей сумме расходов. План годовых назначений по разделу выполнен на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31,0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%. Расходы по подразделам следующие: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-по подразделу 0705 «Профессиональная подготовка, переподготовка и повышение квалификации» -5,3 тыс. рублей план годовых назначений выполнен на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17,7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-по подразделу  0707 «Молодёжная политика» - 95,6 тыс. рублей план годовых назначений выполнен на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32,4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%;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0800 «</w:t>
      </w:r>
      <w:r>
        <w:rPr>
          <w:b/>
          <w:sz w:val="26"/>
          <w:szCs w:val="26"/>
        </w:rPr>
        <w:t xml:space="preserve">Культура, кинематография» </w:t>
      </w:r>
      <w:r>
        <w:rPr>
          <w:sz w:val="26"/>
          <w:szCs w:val="26"/>
        </w:rPr>
        <w:t xml:space="preserve">(подраздел                  0801 «Культура»)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расходы составили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4 105,2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 или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28,1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% в общей сумме расходов. План годовых назначений выполнен на 40,5%.</w:t>
      </w:r>
      <w:r>
        <w:rPr>
          <w:rFonts w:cs="Times New Roman CYR" w:ascii="Times New Roman CYR" w:hAnsi="Times New Roman CYR"/>
          <w:bCs/>
          <w:iCs/>
          <w:sz w:val="26"/>
          <w:szCs w:val="26"/>
          <w:shd w:fill="auto" w:val="clear"/>
        </w:rPr>
        <w:t xml:space="preserve"> В том числе расходы на обеспечение деятельности Дома культуры – </w:t>
      </w:r>
      <w:r>
        <w:rPr>
          <w:rFonts w:eastAsia="Times New Roman" w:cs="Times New Roman CYR" w:ascii="Times New Roman CYR" w:hAnsi="Times New Roman CYR"/>
          <w:bCs/>
          <w:iCs/>
          <w:color w:val="000000"/>
          <w:kern w:val="0"/>
          <w:sz w:val="26"/>
          <w:szCs w:val="26"/>
          <w:shd w:fill="auto" w:val="clear"/>
          <w:lang w:val="ru-RU" w:eastAsia="ru-RU" w:bidi="ar-SA"/>
        </w:rPr>
        <w:t>3 167,1</w:t>
      </w:r>
      <w:r>
        <w:rPr>
          <w:rFonts w:cs="Times New Roman CYR" w:ascii="Times New Roman CYR" w:hAnsi="Times New Roman CYR"/>
          <w:bCs/>
          <w:iCs/>
          <w:sz w:val="26"/>
          <w:szCs w:val="26"/>
          <w:shd w:fill="auto" w:val="clear"/>
        </w:rPr>
        <w:t xml:space="preserve"> тыс. рублей, библиотеки – 600,2 тыс. рублей. Расходы на проведение культурно-массовых мероприятий составили 334,7 тыс. рублей, на уплату налогов – 3,2 тыс. рублей.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1000 «Социальная политика» (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подраздел 1001 «Пенсионное обеспечение») расходы составили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345,0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 или 2,4% в общей сумме расходов. План годовых назначений выполнен на 48,3%, в том числе по подразделам расходы составили: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- по подразделу 1001 «Пенсионное обеспечение» -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345,0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рублей, план годовых назначений выполнен на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78,7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%;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rFonts w:cs="Times New Roman CYR" w:ascii="Times New Roman CYR" w:hAnsi="Times New Roman CYR"/>
          <w:bCs/>
          <w:iCs/>
          <w:sz w:val="26"/>
          <w:szCs w:val="26"/>
        </w:rPr>
        <w:t>- по подразделу 1004 «Охрана семьи и детства» при запланированных назначениях в сумме 275,4 тыс. рублей фактические расходы не производились.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sz w:val="26"/>
          <w:szCs w:val="26"/>
        </w:rPr>
        <w:t xml:space="preserve">По разделу </w:t>
      </w: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1100 «</w:t>
      </w:r>
      <w:r>
        <w:rPr>
          <w:b/>
          <w:sz w:val="26"/>
          <w:szCs w:val="26"/>
        </w:rPr>
        <w:t xml:space="preserve">Физическая культура и спорт» </w:t>
      </w:r>
      <w:r>
        <w:rPr>
          <w:sz w:val="26"/>
          <w:szCs w:val="26"/>
        </w:rPr>
        <w:t xml:space="preserve">(подраздел              1102 «Массовый спорт») 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расходы составили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99,6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тыс. рублей или 0,7% в общей сумме расходов. План годовых назначений выполнен на </w:t>
      </w:r>
      <w:r>
        <w:rPr>
          <w:rFonts w:eastAsia="Times New Roman" w:cs="Times New Roman CYR" w:ascii="Times New Roman CYR" w:hAnsi="Times New Roman CYR"/>
          <w:bCs/>
          <w:iCs/>
          <w:color w:val="auto"/>
          <w:kern w:val="0"/>
          <w:sz w:val="26"/>
          <w:szCs w:val="26"/>
          <w:lang w:val="ru-RU" w:eastAsia="ru-RU" w:bidi="ar-SA"/>
        </w:rPr>
        <w:t>15,4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>%.</w:t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2"/>
          <w:szCs w:val="26"/>
        </w:rPr>
      </w:pPr>
      <w:r>
        <w:rPr>
          <w:rFonts w:cs="Times New Roman CYR" w:ascii="Times New Roman CYR" w:hAnsi="Times New Roman CYR"/>
          <w:bCs/>
          <w:iCs/>
          <w:sz w:val="22"/>
          <w:szCs w:val="26"/>
        </w:rPr>
      </w:r>
    </w:p>
    <w:p>
      <w:pPr>
        <w:pStyle w:val="Normal"/>
        <w:ind w:firstLine="709"/>
        <w:jc w:val="both"/>
        <w:rPr>
          <w:rFonts w:ascii="Times New Roman CYR" w:hAnsi="Times New Roman CYR" w:cs="Times New Roman CYR"/>
          <w:bCs/>
          <w:iCs/>
          <w:sz w:val="26"/>
          <w:szCs w:val="26"/>
        </w:rPr>
      </w:pPr>
      <w:r>
        <w:rPr>
          <w:rFonts w:cs="Times New Roman CYR" w:ascii="Times New Roman CYR" w:hAnsi="Times New Roman CYR"/>
          <w:b/>
          <w:bCs/>
          <w:iCs/>
          <w:sz w:val="26"/>
          <w:szCs w:val="26"/>
        </w:rPr>
        <w:t>Экономическая структура расходов бюджета</w:t>
      </w:r>
      <w:r>
        <w:rPr>
          <w:rFonts w:cs="Times New Roman CYR" w:ascii="Times New Roman CYR" w:hAnsi="Times New Roman CYR"/>
          <w:bCs/>
          <w:iCs/>
          <w:sz w:val="26"/>
          <w:szCs w:val="26"/>
        </w:rPr>
        <w:t xml:space="preserve"> поселения характеризуется следующими показателями (рисунок 3).</w:t>
      </w:r>
    </w:p>
    <w:p>
      <w:pPr>
        <w:pStyle w:val="Normal"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245745</wp:posOffset>
            </wp:positionH>
            <wp:positionV relativeFrom="paragraph">
              <wp:posOffset>171450</wp:posOffset>
            </wp:positionV>
            <wp:extent cx="5778500" cy="1790065"/>
            <wp:effectExtent l="0" t="0" r="0" b="0"/>
            <wp:wrapSquare wrapText="bothSides"/>
            <wp:docPr id="3" name="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</w:p>
    <w:p>
      <w:pPr>
        <w:pStyle w:val="Normal"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ind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Рис.3Экономическая структура расходов бюджета Кировского сельского поселения за 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полугодие 2024</w:t>
      </w:r>
      <w:r>
        <w:rPr>
          <w:sz w:val="26"/>
          <w:szCs w:val="26"/>
        </w:rPr>
        <w:t xml:space="preserve"> </w:t>
      </w:r>
      <w:r>
        <w:rPr>
          <w:b/>
          <w:sz w:val="24"/>
          <w:szCs w:val="24"/>
        </w:rPr>
        <w:t>года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/>
        <w:jc w:val="both"/>
        <w:rPr/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>На выплаты персоналу и взносы по обязательному социальному страхованию сумма расходов составила 5061,6 тыс. рублей или 34,6% в общей сумме расходов бюджета.</w:t>
      </w:r>
    </w:p>
    <w:p>
      <w:pPr>
        <w:pStyle w:val="Normal"/>
        <w:ind w:firstLine="709"/>
        <w:jc w:val="both"/>
        <w:rPr>
          <w:shd w:fill="auto" w:val="clear"/>
        </w:rPr>
      </w:pPr>
      <w:r>
        <w:rPr>
          <w:sz w:val="26"/>
          <w:szCs w:val="26"/>
          <w:shd w:fill="auto" w:val="clear"/>
        </w:rPr>
        <w:t>На закупку товаров, работ и услуг для муниципальных нужд расходы составили 8976,1 тыс. рублей или 61,4% в общей сумме расходов.</w:t>
      </w:r>
    </w:p>
    <w:p>
      <w:pPr>
        <w:pStyle w:val="Normal"/>
        <w:ind w:firstLine="709"/>
        <w:jc w:val="both"/>
        <w:rPr>
          <w:shd w:fill="auto" w:val="clear"/>
        </w:rPr>
      </w:pPr>
      <w:r>
        <w:rPr>
          <w:sz w:val="26"/>
          <w:szCs w:val="26"/>
          <w:shd w:fill="auto" w:val="clear"/>
        </w:rPr>
        <w:t xml:space="preserve">На социальное обеспечение и иные выплаты населению расходы составили </w:t>
      </w:r>
      <w:r>
        <w:rPr>
          <w:rFonts w:eastAsia="Times New Roman" w:cs="Times New Roman"/>
          <w:color w:val="000000"/>
          <w:kern w:val="0"/>
          <w:sz w:val="26"/>
          <w:szCs w:val="26"/>
          <w:shd w:fill="auto" w:val="clear"/>
          <w:lang w:val="ru-RU" w:eastAsia="ru-RU" w:bidi="ar-SA"/>
        </w:rPr>
        <w:t>345,0</w:t>
      </w:r>
      <w:r>
        <w:rPr>
          <w:sz w:val="26"/>
          <w:szCs w:val="26"/>
          <w:shd w:fill="auto" w:val="clear"/>
        </w:rPr>
        <w:t xml:space="preserve">  тыс. рублей или 2,4% в общей сумме расходов.</w:t>
      </w:r>
    </w:p>
    <w:p>
      <w:pPr>
        <w:pStyle w:val="Normal"/>
        <w:ind w:firstLine="709"/>
        <w:jc w:val="both"/>
        <w:rPr>
          <w:shd w:fill="auto" w:val="clear"/>
        </w:rPr>
      </w:pPr>
      <w:r>
        <w:rPr>
          <w:sz w:val="26"/>
          <w:szCs w:val="26"/>
          <w:shd w:fill="auto" w:val="clear"/>
        </w:rPr>
        <w:t>На межбюджетный трансферт в муниципальный район по Соглашению о передаче части полномочий поселения муниципальному району сумма расходов составила 213,6 тыс. рублей или 1,5% в общей сумме расходов.</w:t>
      </w:r>
    </w:p>
    <w:p>
      <w:pPr>
        <w:pStyle w:val="Normal"/>
        <w:ind w:firstLine="709"/>
        <w:jc w:val="both"/>
        <w:rPr>
          <w:shd w:fill="auto" w:val="clear"/>
        </w:rPr>
      </w:pPr>
      <w:r>
        <w:rPr>
          <w:sz w:val="26"/>
          <w:szCs w:val="26"/>
          <w:shd w:fill="auto" w:val="clear"/>
        </w:rPr>
        <w:t xml:space="preserve">На иные бюджетные ассигнования сумма расходов составила 24,2 тыс. рублей или 0,1% в общей сумме расходов бюджета. </w:t>
      </w:r>
    </w:p>
    <w:p>
      <w:pPr>
        <w:pStyle w:val="Con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ConsNormal"/>
        <w:ind w:hanging="0"/>
        <w:jc w:val="center"/>
        <w:rPr>
          <w:rFonts w:ascii="Times New Roman" w:hAnsi="Times New Roman"/>
          <w:b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Источники финансирования дефицита бюджета</w:t>
      </w:r>
    </w:p>
    <w:p>
      <w:pPr>
        <w:pStyle w:val="Normal"/>
        <w:jc w:val="both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</w:p>
    <w:p>
      <w:pPr>
        <w:pStyle w:val="ConsNormal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Бюджет Кировского сельского поселения за </w:t>
      </w:r>
      <w:r>
        <w:rPr>
          <w:rFonts w:cs="Times New Roman" w:ascii="Times New Roman" w:hAnsi="Times New Roman"/>
          <w:sz w:val="26"/>
          <w:szCs w:val="26"/>
        </w:rPr>
        <w:t xml:space="preserve">I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>полугодие</w:t>
      </w:r>
      <w:r>
        <w:rPr>
          <w:rFonts w:ascii="Times New Roman" w:hAnsi="Times New Roman"/>
          <w:sz w:val="26"/>
          <w:szCs w:val="26"/>
        </w:rPr>
        <w:t xml:space="preserve"> 2024 года исполнен с превышением доходов над расходами (профицит бюджета) в размере </w:t>
      </w:r>
      <w:r>
        <w:rPr>
          <w:rFonts w:ascii="Times New Roman" w:hAnsi="Times New Roman"/>
          <w:sz w:val="26"/>
          <w:szCs w:val="26"/>
          <w:shd w:fill="FFFFFF" w:val="clear"/>
        </w:rPr>
        <w:t>-</w:t>
      </w:r>
      <w:r>
        <w:rPr>
          <w:rFonts w:eastAsia="Times New Roman" w:cs="Arial" w:ascii="Times New Roman" w:hAnsi="Times New Roman"/>
          <w:color w:val="000000"/>
          <w:kern w:val="0"/>
          <w:sz w:val="26"/>
          <w:szCs w:val="26"/>
          <w:shd w:fill="FFFFFF" w:val="clear"/>
          <w:lang w:val="ru-RU" w:eastAsia="ru-RU" w:bidi="ar-SA"/>
        </w:rPr>
        <w:t>1 598,2</w:t>
      </w:r>
      <w:r>
        <w:rPr>
          <w:rFonts w:ascii="Times New Roman" w:hAnsi="Times New Roman"/>
          <w:sz w:val="26"/>
          <w:szCs w:val="26"/>
          <w:shd w:fill="FFFFFF" w:val="clear"/>
        </w:rPr>
        <w:t xml:space="preserve"> тыс</w:t>
      </w:r>
      <w:r>
        <w:rPr>
          <w:rFonts w:ascii="Times New Roman" w:hAnsi="Times New Roman"/>
          <w:sz w:val="26"/>
          <w:szCs w:val="26"/>
        </w:rPr>
        <w:t>. рублей.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финансового органа</w:t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  <w:t>Кировского сельского поселения</w:t>
        <w:tab/>
        <w:tab/>
        <w:tab/>
        <w:tab/>
        <w:t xml:space="preserve">                Н. Е. Игнатова</w:t>
      </w:r>
    </w:p>
    <w:p>
      <w:pPr>
        <w:pStyle w:val="Normal"/>
        <w:jc w:val="center"/>
        <w:rPr>
          <w:sz w:val="26"/>
          <w:szCs w:val="26"/>
        </w:rPr>
      </w:pPr>
      <w:r>
        <w:rPr/>
      </w:r>
    </w:p>
    <w:sectPr>
      <w:footerReference w:type="default" r:id="rId5"/>
      <w:type w:val="nextPage"/>
      <w:pgSz w:w="11906" w:h="16838"/>
      <w:pgMar w:left="1701" w:right="1134" w:header="0" w:top="1134" w:footer="709" w:bottom="1134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imes New Roman CYR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126786166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</w:sdtContent>
  </w:sdt>
  <w:p>
    <w:pPr>
      <w:pStyle w:val="Style28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c6b6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">
    <w:name w:val="Heading 2"/>
    <w:basedOn w:val="Normal"/>
    <w:next w:val="Normal"/>
    <w:qFormat/>
    <w:rsid w:val="004424ee"/>
    <w:pPr>
      <w:keepNext w:val="true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qFormat/>
    <w:rsid w:val="00733dcd"/>
    <w:rPr>
      <w:rFonts w:ascii="Tahoma" w:hAnsi="Tahoma" w:cs="Tahoma"/>
      <w:sz w:val="16"/>
      <w:szCs w:val="16"/>
    </w:rPr>
  </w:style>
  <w:style w:type="character" w:styleId="Style14" w:customStyle="1">
    <w:name w:val="Нижний колонтитул Знак"/>
    <w:basedOn w:val="DefaultParagraphFont"/>
    <w:uiPriority w:val="99"/>
    <w:qFormat/>
    <w:rsid w:val="000b4fb1"/>
    <w:rPr/>
  </w:style>
  <w:style w:type="character" w:styleId="21" w:customStyle="1">
    <w:name w:val="Заголовок 2 Знак"/>
    <w:qFormat/>
    <w:rsid w:val="00cc6b63"/>
    <w:rPr>
      <w:sz w:val="28"/>
    </w:rPr>
  </w:style>
  <w:style w:type="character" w:styleId="Style15" w:customStyle="1">
    <w:name w:val="Основной текст Знак"/>
    <w:basedOn w:val="DefaultParagraphFont"/>
    <w:qFormat/>
    <w:rsid w:val="006d56d6"/>
    <w:rPr/>
  </w:style>
  <w:style w:type="character" w:styleId="Style16" w:customStyle="1">
    <w:name w:val="Основной текст_"/>
    <w:basedOn w:val="DefaultParagraphFont"/>
    <w:link w:val="1"/>
    <w:qFormat/>
    <w:rsid w:val="009f74d3"/>
    <w:rPr>
      <w:sz w:val="24"/>
      <w:szCs w:val="24"/>
      <w:shd w:fill="FFFFFF" w:val="clear"/>
    </w:rPr>
  </w:style>
  <w:style w:type="character" w:styleId="Style17" w:customStyle="1">
    <w:name w:val="Основной текст + Полужирный"/>
    <w:basedOn w:val="Style16"/>
    <w:qFormat/>
    <w:rsid w:val="009f74d3"/>
    <w:rPr>
      <w:b/>
      <w:bCs/>
      <w:sz w:val="24"/>
      <w:szCs w:val="24"/>
      <w:shd w:fill="FFFFFF" w:val="clear"/>
    </w:rPr>
  </w:style>
  <w:style w:type="character" w:styleId="Style18" w:customStyle="1">
    <w:name w:val="Текст Знак"/>
    <w:basedOn w:val="DefaultParagraphFont"/>
    <w:qFormat/>
    <w:rsid w:val="006a0d97"/>
    <w:rPr>
      <w:rFonts w:ascii="Courier New" w:hAnsi="Courier New"/>
      <w:lang w:val="x-none" w:eastAsia="x-none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Body Text"/>
    <w:basedOn w:val="Normal"/>
    <w:rsid w:val="006d56d6"/>
    <w:pPr>
      <w:spacing w:before="0" w:after="120"/>
    </w:pPr>
    <w:rPr/>
  </w:style>
  <w:style w:type="paragraph" w:styleId="Style21">
    <w:name w:val="List"/>
    <w:basedOn w:val="Style20"/>
    <w:pPr/>
    <w:rPr>
      <w:rFonts w:cs="Ari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Style24">
    <w:name w:val="Body Text Indent"/>
    <w:basedOn w:val="Normal"/>
    <w:rsid w:val="004424ee"/>
    <w:pPr>
      <w:ind w:firstLine="567"/>
      <w:jc w:val="both"/>
    </w:pPr>
    <w:rPr>
      <w:sz w:val="28"/>
    </w:rPr>
  </w:style>
  <w:style w:type="paragraph" w:styleId="BodyTextIndent3">
    <w:name w:val="Body Text Indent 3"/>
    <w:basedOn w:val="Normal"/>
    <w:qFormat/>
    <w:rsid w:val="004424ee"/>
    <w:pPr>
      <w:ind w:firstLine="567"/>
      <w:jc w:val="center"/>
    </w:pPr>
    <w:rPr>
      <w:sz w:val="28"/>
    </w:rPr>
  </w:style>
  <w:style w:type="paragraph" w:styleId="Style25">
    <w:name w:val="Верхний и нижний колонтитулы"/>
    <w:basedOn w:val="Normal"/>
    <w:qFormat/>
    <w:pPr/>
    <w:rPr/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Normal"/>
    <w:rsid w:val="00de3d3a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ConsNormal" w:customStyle="1">
    <w:name w:val="ConsNormal"/>
    <w:qFormat/>
    <w:rsid w:val="007c08a1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qFormat/>
    <w:rsid w:val="00733dcd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0b26a9"/>
    <w:pPr>
      <w:spacing w:beforeAutospacing="1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93a33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Style28">
    <w:name w:val="Footer"/>
    <w:basedOn w:val="Normal"/>
    <w:uiPriority w:val="99"/>
    <w:rsid w:val="000b4fb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" w:customStyle="1">
    <w:name w:val="Основной текст1"/>
    <w:basedOn w:val="Normal"/>
    <w:qFormat/>
    <w:rsid w:val="009f74d3"/>
    <w:pPr>
      <w:shd w:val="clear" w:color="auto" w:fill="FFFFFF"/>
      <w:spacing w:lineRule="exact" w:line="298"/>
      <w:jc w:val="both"/>
    </w:pPr>
    <w:rPr>
      <w:sz w:val="24"/>
      <w:szCs w:val="24"/>
    </w:rPr>
  </w:style>
  <w:style w:type="paragraph" w:styleId="PlainText">
    <w:name w:val="Plain Text"/>
    <w:basedOn w:val="Normal"/>
    <w:qFormat/>
    <w:rsid w:val="006a0d97"/>
    <w:pPr/>
    <w:rPr>
      <w:rFonts w:ascii="Courier New" w:hAnsi="Courier New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cc6b6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chart" Target="charts/chart1.xml"/><Relationship Id="rId3" Type="http://schemas.openxmlformats.org/officeDocument/2006/relationships/chart" Target="charts/chart2.xml"/><Relationship Id="rId4" Type="http://schemas.openxmlformats.org/officeDocument/2006/relationships/chart" Target="charts/chart3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charts/_rels/chart1.xml.rels><?xml version="1.0" encoding="UTF-8"?>
<Relationships xmlns="http://schemas.openxmlformats.org/package/2006/relationships"><Relationship Id="rId1" Type="http://schemas.openxmlformats.org/officeDocument/2006/relationships/package" Target="../embeddings/_____Microsoft_Excel2.xlsx"/>
</Relationships>
</file>

<file path=word/charts/_rels/chart2.xml.rels><?xml version="1.0" encoding="UTF-8"?>
<Relationships xmlns="http://schemas.openxmlformats.org/package/2006/relationships"><Relationship Id="rId1" Type="http://schemas.openxmlformats.org/officeDocument/2006/relationships/package" Target="../embeddings/_____Microsoft_Excel2.xlsx"/>
</Relationships>
</file>

<file path=word/charts/_rels/chart3.xml.rels><?xml version="1.0" encoding="UTF-8"?>
<Relationships xmlns="http://schemas.openxmlformats.org/package/2006/relationships"><Relationship Id="rId1" Type="http://schemas.openxmlformats.org/officeDocument/2006/relationships/package" Target="../embeddings/_____Microsoft_Excel3.xlsx"/>
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30"/>
      <c:rotY val="280"/>
      <c:rAngAx val="0"/>
      <c:perspective val="1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0.347125"/>
          <c:y val="0.0663333333333333"/>
          <c:w val="0.4374375"/>
          <c:h val="0.888555555555556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2 кв. 2024</c:v>
                </c:pt>
              </c:strCache>
            </c:strRef>
          </c:tx>
          <c:spPr>
            <a:solidFill>
              <a:srgbClr val="4f81bd"/>
            </a:solidFill>
            <a:ln w="0">
              <a:noFill/>
            </a:ln>
          </c:spPr>
          <c:explosion val="50"/>
          <c:dPt>
            <c:idx val="0"/>
            <c:explosion val="50"/>
            <c:spPr>
              <a:solidFill>
                <a:srgbClr val="558ed5"/>
              </a:solidFill>
              <a:ln w="0">
                <a:noFill/>
              </a:ln>
            </c:spPr>
          </c:dPt>
          <c:dPt>
            <c:idx val="1"/>
            <c:explosion val="50"/>
            <c:spPr>
              <a:solidFill>
                <a:srgbClr val="e46c0a"/>
              </a:solidFill>
              <a:ln w="0">
                <a:noFill/>
              </a:ln>
            </c:spPr>
          </c:dPt>
          <c:dPt>
            <c:idx val="2"/>
            <c:explosion val="50"/>
            <c:spPr>
              <a:solidFill>
                <a:srgbClr val="00b050"/>
              </a:solidFill>
              <a:ln w="0">
                <a:noFill/>
              </a:ln>
            </c:spPr>
          </c:dPt>
          <c:dPt>
            <c:idx val="3"/>
            <c:explosion val="50"/>
            <c:spPr>
              <a:solidFill>
                <a:srgbClr val="7030a0"/>
              </a:solidFill>
              <a:ln w="0">
                <a:noFill/>
              </a:ln>
            </c:spPr>
          </c:dPt>
          <c:dPt>
            <c:idx val="4"/>
            <c:explosion val="50"/>
            <c:spPr>
              <a:solidFill>
                <a:srgbClr val="00b0f0"/>
              </a:solidFill>
              <a:ln w="0">
                <a:noFill/>
              </a:ln>
            </c:spPr>
          </c:dPt>
          <c:dPt>
            <c:idx val="5"/>
            <c:explosion val="50"/>
            <c:spPr>
              <a:solidFill>
                <a:srgbClr val="dc853e"/>
              </a:solidFill>
              <a:ln w="0">
                <a:noFill/>
              </a:ln>
            </c:spPr>
          </c:dPt>
          <c:dPt>
            <c:idx val="6"/>
            <c:explosion val="50"/>
            <c:spPr>
              <a:solidFill>
                <a:srgbClr val="ff0000"/>
              </a:solidFill>
              <a:ln w="0">
                <a:noFill/>
              </a:ln>
            </c:spPr>
          </c:dPt>
          <c:dLbls>
            <c:numFmt formatCode="[$-419]0.0%" sourceLinked="0"/>
            <c:dLbl>
              <c:idx val="0"/>
              <c:numFmt formatCode="[$-419]0.0%" sourceLinked="0"/>
              <c:txPr>
                <a:bodyPr wrap="square"/>
                <a:lstStyle/>
                <a:p>
                  <a:pPr>
                    <a:defRPr b="0" sz="8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1"/>
              <c:numFmt formatCode="[$-419]0.0%" sourceLinked="0"/>
              <c:txPr>
                <a:bodyPr wrap="square"/>
                <a:lstStyle/>
                <a:p>
                  <a:pPr>
                    <a:defRPr b="0" sz="8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2"/>
              <c:numFmt formatCode="[$-419]0.0%" sourceLinked="0"/>
              <c:txPr>
                <a:bodyPr wrap="square"/>
                <a:lstStyle/>
                <a:p>
                  <a:pPr>
                    <a:defRPr b="0" sz="8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3"/>
              <c:numFmt formatCode="[$-419]0.0%" sourceLinked="0"/>
              <c:txPr>
                <a:bodyPr wrap="square"/>
                <a:lstStyle/>
                <a:p>
                  <a:pPr>
                    <a:defRPr b="0" sz="8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4"/>
              <c:numFmt formatCode="[$-419]0.0%" sourceLinked="0"/>
              <c:txPr>
                <a:bodyPr wrap="square"/>
                <a:lstStyle/>
                <a:p>
                  <a:pPr>
                    <a:defRPr b="0" sz="8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5"/>
              <c:numFmt formatCode="[$-419]0.0%" sourceLinked="0"/>
              <c:txPr>
                <a:bodyPr wrap="square"/>
                <a:lstStyle/>
                <a:p>
                  <a:pPr>
                    <a:defRPr b="0" sz="8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6"/>
              <c:numFmt formatCode="[$-419]0.0%" sourceLinked="0"/>
              <c:txPr>
                <a:bodyPr wrap="square"/>
                <a:lstStyle/>
                <a:p>
                  <a:pPr>
                    <a:defRPr b="0" sz="7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txPr>
              <a:bodyPr wrap="square"/>
              <a:lstStyle/>
              <a:p>
                <a:pPr>
                  <a:defRPr b="0" sz="8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eparator>; </c:separator>
            <c:showLeaderLines val="0"/>
          </c:dLbls>
          <c:cat>
            <c:strRef>
              <c:f>categories</c:f>
              <c:strCache>
                <c:ptCount val="7"/>
                <c:pt idx="0">
                  <c:v>НДФЛ</c:v>
                </c:pt>
                <c:pt idx="1">
                  <c:v>Акцизы</c:v>
                </c:pt>
                <c:pt idx="2">
                  <c:v>ЕСХН</c:v>
                </c:pt>
                <c:pt idx="3">
                  <c:v>Налог на имущество</c:v>
                </c:pt>
                <c:pt idx="4">
                  <c:v>Доходы от использования имущества</c:v>
                </c:pt>
                <c:pt idx="5">
                  <c:v>Доходы от оказания платных услуг</c:v>
                </c:pt>
                <c:pt idx="6">
                  <c:v>Штрафы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7"/>
                <c:pt idx="0">
                  <c:v>4182.3</c:v>
                </c:pt>
                <c:pt idx="1">
                  <c:v>754.8</c:v>
                </c:pt>
                <c:pt idx="2">
                  <c:v>15.7</c:v>
                </c:pt>
                <c:pt idx="3">
                  <c:v>7019.9</c:v>
                </c:pt>
                <c:pt idx="4">
                  <c:v>371</c:v>
                </c:pt>
                <c:pt idx="5">
                  <c:v>100.3</c:v>
                </c:pt>
                <c:pt idx="6">
                  <c:v>142.2</c:v>
                </c:pt>
              </c:numCache>
            </c:numRef>
          </c:val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%</c:v>
                </c:pt>
              </c:strCache>
            </c:strRef>
          </c:tx>
          <c:spPr>
            <a:solidFill>
              <a:srgbClr val="c0504d"/>
            </a:solidFill>
            <a:ln w="0">
              <a:noFill/>
            </a:ln>
          </c:spPr>
          <c:explosion val="0"/>
          <c:dPt>
            <c:idx val="0"/>
            <c:spPr>
              <a:solidFill>
                <a:srgbClr val="4672a8"/>
              </a:solidFill>
              <a:ln w="0">
                <a:noFill/>
              </a:ln>
            </c:spPr>
          </c:dPt>
          <c:dPt>
            <c:idx val="1"/>
            <c:spPr>
              <a:solidFill>
                <a:srgbClr val="ab4744"/>
              </a:solidFill>
              <a:ln w="0">
                <a:noFill/>
              </a:ln>
            </c:spPr>
          </c:dPt>
          <c:dPt>
            <c:idx val="2"/>
            <c:spPr>
              <a:solidFill>
                <a:srgbClr val="8aa64f"/>
              </a:solidFill>
              <a:ln w="0">
                <a:noFill/>
              </a:ln>
            </c:spPr>
          </c:dPt>
          <c:dPt>
            <c:idx val="3"/>
            <c:spPr>
              <a:solidFill>
                <a:srgbClr val="725990"/>
              </a:solidFill>
              <a:ln w="0">
                <a:noFill/>
              </a:ln>
            </c:spPr>
          </c:dPt>
          <c:dPt>
            <c:idx val="4"/>
            <c:spPr>
              <a:solidFill>
                <a:srgbClr val="4299b0"/>
              </a:solidFill>
              <a:ln w="0">
                <a:noFill/>
              </a:ln>
            </c:spPr>
          </c:dPt>
          <c:dPt>
            <c:idx val="5"/>
            <c:spPr>
              <a:solidFill>
                <a:srgbClr val="dc853e"/>
              </a:solidFill>
              <a:ln w="0">
                <a:noFill/>
              </a:ln>
            </c:spPr>
          </c:dPt>
          <c:dPt>
            <c:idx val="6"/>
            <c:spPr>
              <a:solidFill>
                <a:srgbClr val="93a9ce"/>
              </a:solidFill>
              <a:ln w="0">
                <a:noFill/>
              </a:ln>
            </c:spPr>
          </c:dPt>
          <c:dLbls>
            <c:dLbl>
              <c:idx val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1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2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3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4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5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6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txPr>
              <a:bodyPr wrap="non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bestFit"/>
            <c:showLegendKey val="0"/>
            <c:showVal val="0"/>
            <c:showCatName val="0"/>
            <c:showSerName val="0"/>
            <c:showPercent val="0"/>
            <c:separator>; </c:separator>
            <c:showLeaderLines val="0"/>
          </c:dLbls>
          <c:cat>
            <c:strRef>
              <c:f>categories</c:f>
              <c:strCache>
                <c:ptCount val="7"/>
                <c:pt idx="0">
                  <c:v>НДФЛ</c:v>
                </c:pt>
                <c:pt idx="1">
                  <c:v>Акцизы</c:v>
                </c:pt>
                <c:pt idx="2">
                  <c:v>ЕСХН</c:v>
                </c:pt>
                <c:pt idx="3">
                  <c:v>Налог на имущество</c:v>
                </c:pt>
                <c:pt idx="4">
                  <c:v>Доходы от использования имущества</c:v>
                </c:pt>
                <c:pt idx="5">
                  <c:v>Доходы от оказания платных услуг</c:v>
                </c:pt>
                <c:pt idx="6">
                  <c:v>Штрафы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7"/>
                <c:pt idx="0">
                  <c:v>0.33229</c:v>
                </c:pt>
                <c:pt idx="1">
                  <c:v>0.05997</c:v>
                </c:pt>
                <c:pt idx="2">
                  <c:v>0.00124</c:v>
                </c:pt>
                <c:pt idx="3">
                  <c:v>0.5577457</c:v>
                </c:pt>
                <c:pt idx="4">
                  <c:v>0.03124444</c:v>
                </c:pt>
                <c:pt idx="5">
                  <c:v>0.000796</c:v>
                </c:pt>
                <c:pt idx="6">
                  <c:v>0.011298</c:v>
                </c:pt>
              </c:numCache>
            </c:numRef>
          </c:val>
        </c:ser>
      </c:pie3DChart>
    </c:plotArea>
    <c:plotVisOnly val="1"/>
    <c:dispBlanksAs val="zero"/>
  </c:chart>
  <c:spPr>
    <a:solidFill>
      <a:srgbClr val="ffffff"/>
    </a:solidFill>
    <a:ln w="9360">
      <a:solidFill>
        <a:srgbClr val="d9d9d9"/>
      </a:solidFill>
      <a:round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48"/>
      <c:rotY val="280"/>
      <c:rAngAx val="0"/>
      <c:perspective val="3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0.347125"/>
          <c:y val="0.0663333333333333"/>
          <c:w val="0.4374375"/>
          <c:h val="0.888666666666667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2 кв. 2024</c:v>
                </c:pt>
              </c:strCache>
            </c:strRef>
          </c:tx>
          <c:spPr>
            <a:solidFill>
              <a:srgbClr val="4f81bd"/>
            </a:solidFill>
            <a:ln w="0">
              <a:noFill/>
            </a:ln>
          </c:spPr>
          <c:explosion val="0"/>
          <c:dPt>
            <c:idx val="0"/>
            <c:explosion val="4"/>
            <c:spPr>
              <a:solidFill>
                <a:srgbClr val="558ed5"/>
              </a:solidFill>
              <a:ln w="0">
                <a:noFill/>
              </a:ln>
            </c:spPr>
          </c:dPt>
          <c:dPt>
            <c:idx val="1"/>
            <c:explosion val="11"/>
            <c:spPr>
              <a:solidFill>
                <a:srgbClr val="e46c0a"/>
              </a:solidFill>
              <a:ln w="0">
                <a:noFill/>
              </a:ln>
            </c:spPr>
          </c:dPt>
          <c:dPt>
            <c:idx val="2"/>
            <c:spPr>
              <a:solidFill>
                <a:srgbClr val="00b050"/>
              </a:solidFill>
              <a:ln w="0">
                <a:noFill/>
              </a:ln>
            </c:spPr>
          </c:dPt>
          <c:dPt>
            <c:idx val="3"/>
            <c:spPr>
              <a:solidFill>
                <a:srgbClr val="7030a0"/>
              </a:solidFill>
              <a:ln w="0">
                <a:noFill/>
              </a:ln>
            </c:spPr>
          </c:dPt>
          <c:dPt>
            <c:idx val="4"/>
            <c:explosion val="5"/>
            <c:spPr>
              <a:solidFill>
                <a:srgbClr val="00b0f0"/>
              </a:solidFill>
              <a:ln w="0">
                <a:noFill/>
              </a:ln>
            </c:spPr>
          </c:dPt>
          <c:dPt>
            <c:idx val="5"/>
            <c:explosion val="44"/>
            <c:spPr>
              <a:solidFill>
                <a:srgbClr val="dc853e"/>
              </a:solidFill>
              <a:ln w="0">
                <a:noFill/>
              </a:ln>
            </c:spPr>
          </c:dPt>
          <c:dPt>
            <c:idx val="6"/>
            <c:explosion val="1"/>
            <c:spPr>
              <a:solidFill>
                <a:srgbClr val="ff0000"/>
              </a:solidFill>
              <a:ln w="0">
                <a:noFill/>
              </a:ln>
            </c:spPr>
          </c:dPt>
          <c:dPt>
            <c:idx val="7"/>
            <c:explosion val="32"/>
            <c:spPr>
              <a:solidFill>
                <a:srgbClr val="ffff00"/>
              </a:solidFill>
              <a:ln w="0">
                <a:noFill/>
              </a:ln>
            </c:spPr>
          </c:dPt>
          <c:dPt>
            <c:idx val="8"/>
            <c:spPr>
              <a:solidFill>
                <a:srgbClr val="4b1f6f"/>
              </a:solidFill>
              <a:ln w="0">
                <a:noFill/>
              </a:ln>
            </c:spPr>
          </c:dPt>
          <c:dLbls>
            <c:numFmt formatCode="[$-419]0.0%" sourceLinked="0"/>
            <c:dLbl>
              <c:idx val="0"/>
              <c:numFmt formatCode="[$-419]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1"/>
              <c:numFmt formatCode="[$-419]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2"/>
              <c:numFmt formatCode="[$-419]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3"/>
              <c:numFmt formatCode="[$-419]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4"/>
              <c:numFmt formatCode="[$-419]0.0%" sourceLinked="0"/>
              <c:txPr>
                <a:bodyPr wrap="squar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5"/>
              <c:numFmt formatCode="[$-419]0.0%" sourceLinked="0"/>
              <c:txPr>
                <a:bodyPr wrap="square"/>
                <a:lstStyle/>
                <a:p>
                  <a:pPr>
                    <a:defRPr b="0" sz="9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6"/>
              <c:numFmt formatCode="[$-419]0.0%" sourceLinked="0"/>
              <c:txPr>
                <a:bodyPr wrap="square"/>
                <a:lstStyle/>
                <a:p>
                  <a:pPr>
                    <a:defRPr b="0" sz="9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7"/>
              <c:numFmt formatCode="[$-419]0.0%" sourceLinked="0"/>
              <c:txPr>
                <a:bodyPr wrap="square"/>
                <a:lstStyle/>
                <a:p>
                  <a:pPr>
                    <a:defRPr b="0" sz="9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dLbl>
              <c:idx val="8"/>
              <c:numFmt formatCode="[$-419]0.0%" sourceLinked="0"/>
              <c:txPr>
                <a:bodyPr wrap="square"/>
                <a:lstStyle/>
                <a:p>
                  <a:pPr>
                    <a:defRPr b="0" sz="9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; </c:separator>
            </c:dLbl>
            <c:txPr>
              <a:bodyPr wrap="squar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eparator>; </c:separator>
            <c:showLeaderLines val="0"/>
          </c:dLbls>
          <c:cat>
            <c:strRef>
              <c:f>categories</c:f>
              <c:strCache>
                <c:ptCount val="9"/>
                <c:pt idx="0">
                  <c:v>Культура</c:v>
                </c:pt>
                <c:pt idx="1">
                  <c:v>Общегосударственные вопросы</c:v>
                </c:pt>
                <c:pt idx="2">
                  <c:v>Национальная экономика</c:v>
                </c:pt>
                <c:pt idx="3">
                  <c:v>ЖКХ</c:v>
                </c:pt>
                <c:pt idx="4">
                  <c:v>Национальная безопасность</c:v>
                </c:pt>
                <c:pt idx="5">
                  <c:v>Социальная политика</c:v>
                </c:pt>
                <c:pt idx="6">
                  <c:v>Национальная оборона</c:v>
                </c:pt>
                <c:pt idx="7">
                  <c:v>Образование</c:v>
                </c:pt>
                <c:pt idx="8">
                  <c:v>Физическая культура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9"/>
                <c:pt idx="0">
                  <c:v>4105.2</c:v>
                </c:pt>
                <c:pt idx="1">
                  <c:v>3103.2</c:v>
                </c:pt>
                <c:pt idx="2">
                  <c:v>2334.2</c:v>
                </c:pt>
                <c:pt idx="3">
                  <c:v>3297.8</c:v>
                </c:pt>
                <c:pt idx="4">
                  <c:v>1126.7</c:v>
                </c:pt>
                <c:pt idx="5">
                  <c:v>345</c:v>
                </c:pt>
                <c:pt idx="6">
                  <c:v>107.9</c:v>
                </c:pt>
                <c:pt idx="7">
                  <c:v>100.9</c:v>
                </c:pt>
                <c:pt idx="8">
                  <c:v>99.6</c:v>
                </c:pt>
              </c:numCache>
            </c:numRef>
          </c:val>
        </c:ser>
        <c:ser>
          <c:idx val="1"/>
          <c:order val="1"/>
          <c:tx>
            <c:strRef>
              <c:f>label 1</c:f>
              <c:strCache>
                <c:ptCount val="1"/>
                <c:pt idx="0">
                  <c:v>%</c:v>
                </c:pt>
              </c:strCache>
            </c:strRef>
          </c:tx>
          <c:spPr>
            <a:solidFill>
              <a:srgbClr val="c0504d"/>
            </a:solidFill>
            <a:ln w="0">
              <a:noFill/>
            </a:ln>
          </c:spPr>
          <c:explosion val="0"/>
          <c:dPt>
            <c:idx val="0"/>
            <c:spPr>
              <a:solidFill>
                <a:srgbClr val="4672a8"/>
              </a:solidFill>
              <a:ln w="0">
                <a:noFill/>
              </a:ln>
            </c:spPr>
          </c:dPt>
          <c:dPt>
            <c:idx val="1"/>
            <c:spPr>
              <a:solidFill>
                <a:srgbClr val="ab4744"/>
              </a:solidFill>
              <a:ln w="0">
                <a:noFill/>
              </a:ln>
            </c:spPr>
          </c:dPt>
          <c:dPt>
            <c:idx val="2"/>
            <c:spPr>
              <a:solidFill>
                <a:srgbClr val="8aa64f"/>
              </a:solidFill>
              <a:ln w="0">
                <a:noFill/>
              </a:ln>
            </c:spPr>
          </c:dPt>
          <c:dPt>
            <c:idx val="3"/>
            <c:spPr>
              <a:solidFill>
                <a:srgbClr val="725990"/>
              </a:solidFill>
              <a:ln w="0">
                <a:noFill/>
              </a:ln>
            </c:spPr>
          </c:dPt>
          <c:dPt>
            <c:idx val="4"/>
            <c:spPr>
              <a:solidFill>
                <a:srgbClr val="4299b0"/>
              </a:solidFill>
              <a:ln w="0">
                <a:noFill/>
              </a:ln>
            </c:spPr>
          </c:dPt>
          <c:dPt>
            <c:idx val="5"/>
            <c:spPr>
              <a:solidFill>
                <a:srgbClr val="dc853e"/>
              </a:solidFill>
              <a:ln w="0">
                <a:noFill/>
              </a:ln>
            </c:spPr>
          </c:dPt>
          <c:dPt>
            <c:idx val="6"/>
            <c:spPr>
              <a:solidFill>
                <a:srgbClr val="93a9ce"/>
              </a:solidFill>
              <a:ln w="0">
                <a:noFill/>
              </a:ln>
            </c:spPr>
          </c:dPt>
          <c:dPt>
            <c:idx val="7"/>
            <c:spPr>
              <a:solidFill>
                <a:srgbClr val="d09493"/>
              </a:solidFill>
              <a:ln w="0">
                <a:noFill/>
              </a:ln>
            </c:spPr>
          </c:dPt>
          <c:dPt>
            <c:idx val="8"/>
            <c:spPr>
              <a:solidFill>
                <a:srgbClr val="4b1f6f"/>
              </a:solidFill>
              <a:ln w="0">
                <a:noFill/>
              </a:ln>
            </c:spPr>
          </c:dPt>
          <c:dLbls>
            <c:dLbl>
              <c:idx val="0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1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2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3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4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5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6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7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dLbl>
              <c:idx val="8"/>
              <c:txPr>
                <a:bodyPr wrap="none"/>
                <a:lstStyle/>
                <a:p>
                  <a:pPr>
                    <a:defRPr b="0" sz="1000" spc="-1" strike="noStrike">
                      <a:solidFill>
                        <a:srgbClr val="000000"/>
                      </a:solidFill>
                      <a:latin typeface="Calibri"/>
                    </a:defRPr>
                  </a:pPr>
                </a:p>
              </c:txPr>
              <c:dLblPos val="bestFit"/>
              <c:showLegendKey val="0"/>
              <c:showVal val="0"/>
              <c:showCatName val="0"/>
              <c:showSerName val="0"/>
              <c:showPercent val="0"/>
              <c:separator>; </c:separator>
            </c:dLbl>
            <c:txPr>
              <a:bodyPr wrap="none"/>
              <a:lstStyle/>
              <a:p>
                <a:pPr>
                  <a:defRPr b="0" sz="1000" spc="-1" strike="noStrike">
                    <a:solidFill>
                      <a:srgbClr val="000000"/>
                    </a:solidFill>
                    <a:latin typeface="Calibri"/>
                  </a:defRPr>
                </a:pPr>
              </a:p>
            </c:txPr>
            <c:dLblPos val="bestFit"/>
            <c:showLegendKey val="0"/>
            <c:showVal val="0"/>
            <c:showCatName val="0"/>
            <c:showSerName val="0"/>
            <c:showPercent val="0"/>
            <c:separator>; </c:separator>
            <c:showLeaderLines val="0"/>
          </c:dLbls>
          <c:cat>
            <c:strRef>
              <c:f>categories</c:f>
              <c:strCache>
                <c:ptCount val="9"/>
                <c:pt idx="0">
                  <c:v>Культура</c:v>
                </c:pt>
                <c:pt idx="1">
                  <c:v>Общегосударственные вопросы</c:v>
                </c:pt>
                <c:pt idx="2">
                  <c:v>Национальная экономика</c:v>
                </c:pt>
                <c:pt idx="3">
                  <c:v>ЖКХ</c:v>
                </c:pt>
                <c:pt idx="4">
                  <c:v>Национальная безопасность</c:v>
                </c:pt>
                <c:pt idx="5">
                  <c:v>Социальная политика</c:v>
                </c:pt>
                <c:pt idx="6">
                  <c:v>Национальная оборона</c:v>
                </c:pt>
                <c:pt idx="7">
                  <c:v>Образование</c:v>
                </c:pt>
                <c:pt idx="8">
                  <c:v>Физическая культура</c:v>
                </c:pt>
              </c:strCache>
            </c:strRef>
          </c:cat>
          <c:val>
            <c:numRef>
              <c:f>1</c:f>
              <c:numCache>
                <c:formatCode>General</c:formatCode>
                <c:ptCount val="9"/>
                <c:pt idx="0">
                  <c:v>0.28078</c:v>
                </c:pt>
                <c:pt idx="1">
                  <c:v>0.21225</c:v>
                </c:pt>
                <c:pt idx="2">
                  <c:v>0.15965</c:v>
                </c:pt>
                <c:pt idx="3">
                  <c:v>0.22556</c:v>
                </c:pt>
                <c:pt idx="4">
                  <c:v>0.7706</c:v>
                </c:pt>
                <c:pt idx="5">
                  <c:v>0.00681</c:v>
                </c:pt>
                <c:pt idx="6">
                  <c:v>0.00738</c:v>
                </c:pt>
                <c:pt idx="7">
                  <c:v>0.0069</c:v>
                </c:pt>
                <c:pt idx="8">
                  <c:v>0.681</c:v>
                </c:pt>
              </c:numCache>
            </c:numRef>
          </c:val>
        </c:ser>
      </c:pie3DChart>
    </c:plotArea>
    <c:plotVisOnly val="1"/>
    <c:dispBlanksAs val="gap"/>
  </c:chart>
  <c:spPr>
    <a:solidFill>
      <a:srgbClr val="ffffff"/>
    </a:solidFill>
    <a:ln w="9360">
      <a:solidFill>
        <a:srgbClr val="d9d9d9"/>
      </a:solidFill>
      <a:round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roundedCorners val="0"/>
  <c:chart>
    <c:autoTitleDeleted val="1"/>
    <c:view3D>
      <c:rotX val="30"/>
      <c:rotY val="100"/>
      <c:rAngAx val="0"/>
      <c:perspective val="10"/>
    </c:view3D>
    <c:floor>
      <c:spPr>
        <a:solidFill>
          <a:srgbClr val="d9d9d9"/>
        </a:solidFill>
        <a:ln w="0">
          <a:noFill/>
        </a:ln>
      </c:spPr>
    </c:floor>
    <c:sideWall>
      <c:spPr>
        <a:solidFill>
          <a:srgbClr val="d9d9d9"/>
        </a:solidFill>
        <a:ln w="0">
          <a:noFill/>
        </a:ln>
      </c:spPr>
    </c:sideWall>
    <c:backWall>
      <c:spPr>
        <a:solidFill>
          <a:srgbClr val="d9d9d9"/>
        </a:solidFill>
        <a:ln w="0">
          <a:noFill/>
        </a:ln>
      </c:spPr>
    </c:backWall>
    <c:plotArea>
      <c:layout>
        <c:manualLayout>
          <c:layoutTarget val="inner"/>
          <c:xMode val="edge"/>
          <c:yMode val="edge"/>
          <c:x val="0.14925"/>
          <c:y val="0.0466666666666667"/>
          <c:w val="0.580625"/>
          <c:h val="0.801111111111111"/>
        </c:manualLayout>
      </c:layout>
      <c:pie3DChart>
        <c:varyColors val="1"/>
        <c:ser>
          <c:idx val="0"/>
          <c:order val="0"/>
          <c:tx>
            <c:strRef>
              <c:f>label 0</c:f>
              <c:strCache>
                <c:ptCount val="1"/>
                <c:pt idx="0">
                  <c:v>Серия1</c:v>
                </c:pt>
              </c:strCache>
            </c:strRef>
          </c:tx>
          <c:spPr>
            <a:solidFill>
              <a:srgbClr val="4f81bd"/>
            </a:solidFill>
            <a:ln w="0">
              <a:noFill/>
            </a:ln>
          </c:spPr>
          <c:explosion val="50"/>
          <c:dPt>
            <c:idx val="0"/>
            <c:explosion val="22"/>
            <c:spPr>
              <a:solidFill>
                <a:srgbClr val="ff0000"/>
              </a:solidFill>
              <a:ln w="0">
                <a:noFill/>
              </a:ln>
            </c:spPr>
          </c:dPt>
          <c:dPt>
            <c:idx val="1"/>
            <c:explosion val="50"/>
            <c:spPr>
              <a:solidFill>
                <a:srgbClr val="ffff00"/>
              </a:solidFill>
              <a:ln w="0">
                <a:noFill/>
              </a:ln>
            </c:spPr>
          </c:dPt>
          <c:dPt>
            <c:idx val="2"/>
            <c:explosion val="15"/>
            <c:spPr>
              <a:solidFill>
                <a:srgbClr val="92d050"/>
              </a:solidFill>
              <a:ln w="0">
                <a:noFill/>
              </a:ln>
            </c:spPr>
          </c:dPt>
          <c:dPt>
            <c:idx val="3"/>
            <c:explosion val="19"/>
            <c:spPr>
              <a:solidFill>
                <a:srgbClr val="b9cde5"/>
              </a:solidFill>
              <a:ln w="0">
                <a:noFill/>
              </a:ln>
            </c:spPr>
          </c:dPt>
          <c:dPt>
            <c:idx val="4"/>
            <c:explosion val="50"/>
            <c:spPr>
              <a:solidFill>
                <a:srgbClr val="ff66ff"/>
              </a:solidFill>
              <a:ln w="0">
                <a:noFill/>
              </a:ln>
            </c:spPr>
          </c:dPt>
          <c:dLbls>
            <c:numFmt formatCode="[$-419]0.0%" sourceLinked="0"/>
            <c:dLbl>
              <c:idx val="0"/>
              <c:numFmt formatCode="[$-419]0.0%" sourceLinked="0"/>
              <c:txPr>
                <a:bodyPr wrap="square"/>
                <a:lstStyle/>
                <a:p>
                  <a:pPr>
                    <a:defRPr b="0" sz="700" spc="-1" strike="noStrike">
                      <a:solidFill>
                        <a:srgbClr val="000000"/>
                      </a:solidFill>
                      <a:latin typeface="Times New Roman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, </c:separator>
            </c:dLbl>
            <c:dLbl>
              <c:idx val="1"/>
              <c:numFmt formatCode="[$-419]0.0%" sourceLinked="0"/>
              <c:txPr>
                <a:bodyPr wrap="square"/>
                <a:lstStyle/>
                <a:p>
                  <a:pPr>
                    <a:defRPr b="0" sz="700" spc="-1" strike="noStrike">
                      <a:solidFill>
                        <a:srgbClr val="000000"/>
                      </a:solidFill>
                      <a:latin typeface="Times New Roman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, </c:separator>
            </c:dLbl>
            <c:dLbl>
              <c:idx val="2"/>
              <c:numFmt formatCode="[$-419]0.0%" sourceLinked="0"/>
              <c:txPr>
                <a:bodyPr wrap="square"/>
                <a:lstStyle/>
                <a:p>
                  <a:pPr>
                    <a:defRPr b="0" sz="700" spc="-1" strike="noStrike">
                      <a:solidFill>
                        <a:srgbClr val="000000"/>
                      </a:solidFill>
                      <a:latin typeface="Times New Roman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, </c:separator>
            </c:dLbl>
            <c:dLbl>
              <c:idx val="3"/>
              <c:numFmt formatCode="[$-419]0.0%" sourceLinked="0"/>
              <c:txPr>
                <a:bodyPr wrap="square"/>
                <a:lstStyle/>
                <a:p>
                  <a:pPr>
                    <a:defRPr b="0" sz="700" spc="-1" strike="noStrike">
                      <a:solidFill>
                        <a:srgbClr val="000000"/>
                      </a:solidFill>
                      <a:latin typeface="Times New Roman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, </c:separator>
            </c:dLbl>
            <c:dLbl>
              <c:idx val="4"/>
              <c:numFmt formatCode="[$-419]0.0%" sourceLinked="0"/>
              <c:txPr>
                <a:bodyPr wrap="square"/>
                <a:lstStyle/>
                <a:p>
                  <a:pPr>
                    <a:defRPr b="0" sz="700" spc="-1" strike="noStrike">
                      <a:solidFill>
                        <a:srgbClr val="000000"/>
                      </a:solidFill>
                      <a:latin typeface="Times New Roman"/>
                    </a:defRPr>
                  </a:pPr>
                </a:p>
              </c:txPr>
              <c:dLblPos val="inEnd"/>
              <c:showLegendKey val="0"/>
              <c:showVal val="0"/>
              <c:showCatName val="1"/>
              <c:showSerName val="0"/>
              <c:showPercent val="1"/>
              <c:separator>, </c:separator>
            </c:dLbl>
            <c:txPr>
              <a:bodyPr wrap="square"/>
              <a:lstStyle/>
              <a:p>
                <a:pPr>
                  <a:defRPr b="0" sz="700" spc="-1" strike="noStrike">
                    <a:solidFill>
                      <a:srgbClr val="000000"/>
                    </a:solidFill>
                    <a:latin typeface="Times New Roman"/>
                    <a:ea typeface="Calibri"/>
                  </a:defRPr>
                </a:pPr>
              </a:p>
            </c:txPr>
            <c:dLblPos val="inEnd"/>
            <c:showLegendKey val="0"/>
            <c:showVal val="0"/>
            <c:showCatName val="1"/>
            <c:showSerName val="0"/>
            <c:showPercent val="1"/>
            <c:separator>, </c:separator>
            <c:showLeaderLines val="0"/>
          </c:dLbls>
          <c:cat>
            <c:strRef>
              <c:f>categories</c:f>
              <c:strCache>
                <c:ptCount val="5"/>
                <c:pt idx="0">
                  <c:v>Расходы на  выплаты персоналу и взносы по обязательному социальному страхованию</c:v>
                </c:pt>
                <c:pt idx="1">
                  <c:v>Социальное обеспечение</c:v>
                </c:pt>
                <c:pt idx="2">
                  <c:v>Закупка для муниципальных нужд</c:v>
                </c:pt>
                <c:pt idx="3">
                  <c:v>Межбюджетные трансферты</c:v>
                </c:pt>
                <c:pt idx="4">
                  <c:v>Иные бюджетные ассигнования</c:v>
                </c:pt>
              </c:strCache>
            </c:strRef>
          </c:cat>
          <c:val>
            <c:numRef>
              <c:f>0</c:f>
              <c:numCache>
                <c:formatCode>General</c:formatCode>
                <c:ptCount val="5"/>
                <c:pt idx="0">
                  <c:v>0.346</c:v>
                </c:pt>
                <c:pt idx="1">
                  <c:v>0.0240737754189453</c:v>
                </c:pt>
                <c:pt idx="2">
                  <c:v>0.614</c:v>
                </c:pt>
                <c:pt idx="3">
                  <c:v>0.015</c:v>
                </c:pt>
                <c:pt idx="4">
                  <c:v>0.00112891638688111</c:v>
                </c:pt>
              </c:numCache>
            </c:numRef>
          </c:val>
        </c:ser>
      </c:pie3DChart>
    </c:plotArea>
    <c:plotVisOnly val="1"/>
    <c:dispBlanksAs val="zero"/>
  </c:chart>
  <c:spPr>
    <a:solidFill>
      <a:srgbClr val="ffffff"/>
    </a:solidFill>
    <a:ln w="9360"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0231D65-AD70-4F80-BD62-8ED7D6C62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1925</TotalTime>
  <Application>LibreOffice/7.0.1.2$Windows_X86_64 LibreOffice_project/7cbcfc562f6eb6708b5ff7d7397325de9e764452</Application>
  <Pages>6</Pages>
  <Words>1728</Words>
  <Characters>11075</Characters>
  <CharactersWithSpaces>12800</CharactersWithSpaces>
  <Paragraphs>135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2017-04-11T12:45:00Z</dcterms:created>
  <dc:creator>User</dc:creator>
  <dc:description/>
  <dc:language>ru-RU</dc:language>
  <cp:lastModifiedBy/>
  <cp:lastPrinted>2024-08-08T10:58:26Z</cp:lastPrinted>
  <dcterms:modified xsi:type="dcterms:W3CDTF">2024-08-08T15:52:06Z</dcterms:modified>
  <cp:revision>214</cp:revision>
  <dc:subject/>
  <dc:title>                                  Пояснительная записка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